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D7332C">
      <w:pPr>
        <w:jc w:val="center"/>
        <w:rPr>
          <w:b/>
          <w:sz w:val="28"/>
          <w:u w:val="single"/>
        </w:rPr>
      </w:pPr>
      <w:r>
        <w:rPr>
          <w:b/>
          <w:sz w:val="28"/>
          <w:u w:val="single"/>
        </w:rPr>
        <w:t xml:space="preserve">Key Fact Document (KFD) </w:t>
      </w:r>
    </w:p>
    <w:p w14:paraId="1B1F3470">
      <w:pPr>
        <w:jc w:val="center"/>
        <w:rPr>
          <w:b/>
          <w:sz w:val="28"/>
          <w:u w:val="single"/>
        </w:rPr>
      </w:pPr>
      <w:r>
        <w:rPr>
          <w:b/>
          <w:sz w:val="28"/>
          <w:u w:val="single"/>
        </w:rPr>
        <w:t>Personal Loans</w:t>
      </w:r>
    </w:p>
    <w:p w14:paraId="694C54D4">
      <w:pPr>
        <w:jc w:val="center"/>
        <w:rPr>
          <w:b/>
          <w:sz w:val="28"/>
          <w:u w:val="single"/>
        </w:rPr>
      </w:pPr>
      <w:r>
        <w:rPr>
          <w:b/>
          <w:sz w:val="28"/>
          <w:u w:val="single"/>
        </w:rPr>
        <w:t>Merchant Bank of Sri Lanka &amp; Finance PLC</w:t>
      </w:r>
    </w:p>
    <w:p w14:paraId="2D04E1DB">
      <w:pPr>
        <w:jc w:val="both"/>
        <w:rPr>
          <w:b/>
          <w:u w:val="single"/>
        </w:rPr>
      </w:pPr>
      <w:r>
        <w:t xml:space="preserve"> </w:t>
      </w:r>
      <w:r>
        <w:rPr>
          <w:b/>
          <w:u w:val="single"/>
        </w:rPr>
        <w:t>01. Introduction</w:t>
      </w:r>
    </w:p>
    <w:p w14:paraId="1C1D79D9">
      <w:pPr>
        <w:jc w:val="both"/>
      </w:pPr>
      <w:r>
        <w:t>In line with the bank focus on Retail Segment, the MBSL has introduced a personal loan scheme mainly aimed to fulfill urgent financial requirements which add value to employed citizens. This product is offered to the market essentially to attract salaried individuals working for companies with acceptable key performance indicators and employees of state institutions.</w:t>
      </w:r>
    </w:p>
    <w:p w14:paraId="0253D24D">
      <w:pPr>
        <w:jc w:val="both"/>
        <w:rPr>
          <w:b/>
          <w:u w:val="single"/>
        </w:rPr>
      </w:pPr>
      <w:r>
        <w:rPr>
          <w:b/>
          <w:u w:val="single"/>
        </w:rPr>
        <w:t>02. Objectives</w:t>
      </w:r>
    </w:p>
    <w:p w14:paraId="76C480C2">
      <w:pPr>
        <w:pStyle w:val="8"/>
        <w:numPr>
          <w:ilvl w:val="0"/>
          <w:numId w:val="1"/>
        </w:numPr>
        <w:jc w:val="both"/>
      </w:pPr>
      <w:r>
        <w:t>To develop and maintain a high quality and profitable personal loan portfolio to enhance the bank’s personal banking business- armed for future cross selling.</w:t>
      </w:r>
    </w:p>
    <w:p w14:paraId="1221684E">
      <w:pPr>
        <w:pStyle w:val="8"/>
        <w:numPr>
          <w:ilvl w:val="0"/>
          <w:numId w:val="1"/>
        </w:numPr>
        <w:jc w:val="both"/>
      </w:pPr>
      <w:r>
        <w:t>To provide a high level of customer service by processing applications in an efficient and professional manner.</w:t>
      </w:r>
    </w:p>
    <w:p w14:paraId="755388EE">
      <w:pPr>
        <w:pStyle w:val="8"/>
        <w:numPr>
          <w:ilvl w:val="0"/>
          <w:numId w:val="1"/>
        </w:numPr>
        <w:jc w:val="both"/>
      </w:pPr>
      <w:r>
        <w:t>To minimize risk exposure on potential fraud by adhering to established guidelines and procedures.</w:t>
      </w:r>
    </w:p>
    <w:p w14:paraId="2ACE8CCC">
      <w:pPr>
        <w:jc w:val="both"/>
        <w:rPr>
          <w:b/>
          <w:u w:val="single"/>
        </w:rPr>
      </w:pPr>
      <w:r>
        <w:t xml:space="preserve"> </w:t>
      </w:r>
      <w:r>
        <w:rPr>
          <w:b/>
          <w:u w:val="single"/>
        </w:rPr>
        <w:t>03. Eligibility Criteria</w:t>
      </w:r>
    </w:p>
    <w:p w14:paraId="7CDC22B5">
      <w:pPr>
        <w:ind w:left="360" w:hanging="440"/>
        <w:jc w:val="both"/>
      </w:pPr>
      <w:r>
        <w:t>a) Applicant should be over 21 years and below 55 years.</w:t>
      </w:r>
    </w:p>
    <w:p w14:paraId="133B5294">
      <w:pPr>
        <w:ind w:left="880" w:leftChars="200" w:hanging="440"/>
        <w:jc w:val="both"/>
      </w:pPr>
      <w:r>
        <w:t>The following exceptions are allowed beyond 55 years up to 60 years within the normal approval process.</w:t>
      </w:r>
    </w:p>
    <w:p w14:paraId="4E0C65EF">
      <w:pPr>
        <w:pStyle w:val="8"/>
        <w:numPr>
          <w:ilvl w:val="0"/>
          <w:numId w:val="2"/>
        </w:numPr>
        <w:ind w:left="880" w:leftChars="200" w:hanging="440"/>
        <w:jc w:val="both"/>
      </w:pPr>
      <w:r>
        <w:t>State employees who will retire at the age of 60 years can be accommodate up to retirement.</w:t>
      </w:r>
    </w:p>
    <w:p w14:paraId="79D6D831">
      <w:pPr>
        <w:pStyle w:val="8"/>
        <w:numPr>
          <w:ilvl w:val="0"/>
          <w:numId w:val="2"/>
        </w:numPr>
        <w:ind w:left="880" w:leftChars="200" w:hanging="440"/>
        <w:jc w:val="both"/>
      </w:pPr>
      <w:r>
        <w:t>The doctors and Sri Lankan Airline pilots’ retirement age is 60 years. Hence the loan tenor can be continued up to 60 years.</w:t>
      </w:r>
    </w:p>
    <w:p w14:paraId="7585589A">
      <w:pPr>
        <w:ind w:left="680" w:leftChars="-45" w:hanging="779"/>
        <w:jc w:val="both"/>
      </w:pPr>
      <w:r>
        <w:t xml:space="preserve"> b)     Be a professional or a permanent employee of a reputed organization (Not a business person).</w:t>
      </w:r>
    </w:p>
    <w:p w14:paraId="70B36DB6">
      <w:pPr>
        <w:pStyle w:val="6"/>
        <w:numPr>
          <w:ilvl w:val="0"/>
          <w:numId w:val="3"/>
        </w:numPr>
        <w:spacing w:before="120" w:beforeAutospacing="0" w:after="120" w:afterAutospacing="0"/>
        <w:jc w:val="both"/>
        <w:rPr>
          <w:rFonts w:asciiTheme="minorHAnsi" w:hAnsiTheme="minorHAnsi" w:eastAsiaTheme="minorHAnsi" w:cstheme="minorBidi"/>
          <w:sz w:val="22"/>
          <w:szCs w:val="22"/>
        </w:rPr>
      </w:pPr>
      <w:r>
        <w:rPr>
          <w:rFonts w:asciiTheme="minorHAnsi" w:hAnsiTheme="minorHAnsi" w:eastAsiaTheme="minorHAnsi" w:cstheme="minorBidi"/>
          <w:sz w:val="22"/>
          <w:szCs w:val="22"/>
        </w:rPr>
        <w:t>The sources of income must be verified with acceptable proof documents.</w:t>
      </w:r>
    </w:p>
    <w:p w14:paraId="6DC3B5AC">
      <w:pPr>
        <w:pStyle w:val="6"/>
        <w:numPr>
          <w:ilvl w:val="0"/>
          <w:numId w:val="3"/>
        </w:numPr>
        <w:spacing w:before="120" w:beforeAutospacing="0" w:after="120" w:afterAutospacing="0"/>
        <w:jc w:val="both"/>
        <w:rPr>
          <w:rFonts w:asciiTheme="minorHAnsi" w:hAnsiTheme="minorHAnsi" w:eastAsiaTheme="minorHAnsi" w:cstheme="minorBidi"/>
          <w:sz w:val="22"/>
          <w:szCs w:val="22"/>
        </w:rPr>
      </w:pPr>
      <w:r>
        <w:rPr>
          <w:rFonts w:asciiTheme="minorHAnsi" w:hAnsiTheme="minorHAnsi" w:eastAsiaTheme="minorHAnsi" w:cstheme="minorBidi"/>
          <w:sz w:val="22"/>
          <w:szCs w:val="22"/>
        </w:rPr>
        <w:t>Cross boarder facilities (exceeding branch territory or district) will not be accommodated unless otherwise there is a valid reason for same. Branch need to identify customers living area and routed through the correct branch as there are island-wide branches.</w:t>
      </w:r>
    </w:p>
    <w:p w14:paraId="0064F0A4">
      <w:pPr>
        <w:pStyle w:val="6"/>
        <w:numPr>
          <w:ilvl w:val="0"/>
          <w:numId w:val="3"/>
        </w:numPr>
        <w:spacing w:before="120" w:beforeAutospacing="0" w:after="120" w:afterAutospacing="0"/>
        <w:jc w:val="both"/>
        <w:rPr>
          <w:rFonts w:asciiTheme="minorHAnsi" w:hAnsiTheme="minorHAnsi" w:eastAsiaTheme="minorHAnsi" w:cstheme="minorBidi"/>
          <w:sz w:val="22"/>
          <w:szCs w:val="22"/>
        </w:rPr>
      </w:pPr>
      <w:r>
        <w:rPr>
          <w:rFonts w:asciiTheme="minorHAnsi" w:hAnsiTheme="minorHAnsi" w:eastAsiaTheme="minorHAnsi" w:cstheme="minorBidi"/>
          <w:sz w:val="22"/>
          <w:szCs w:val="22"/>
        </w:rPr>
        <w:t>All existing facilities obtained from MBSL by the client / group of customers (reputed private banks / financial institutions and private establishments’ employees) shall be below 60 days arrears within the immediate past 12 months.</w:t>
      </w:r>
    </w:p>
    <w:p w14:paraId="50E34733">
      <w:pPr>
        <w:pStyle w:val="8"/>
        <w:numPr>
          <w:ilvl w:val="0"/>
          <w:numId w:val="3"/>
        </w:numPr>
        <w:jc w:val="both"/>
      </w:pPr>
      <w:r>
        <w:rPr>
          <w:color w:val="000000"/>
        </w:rPr>
        <w:t>There should not be any Legal / Terminated or Write off facilities listed in applicant’s CRIB (including other Banks &amp; Financial Institutions) at any given time as applicant or guarantor.</w:t>
      </w:r>
    </w:p>
    <w:p w14:paraId="2D6AB278">
      <w:pPr>
        <w:pStyle w:val="8"/>
        <w:numPr>
          <w:ilvl w:val="0"/>
          <w:numId w:val="3"/>
        </w:numPr>
        <w:jc w:val="both"/>
      </w:pPr>
      <w:r>
        <w:rPr>
          <w:color w:val="000000"/>
        </w:rPr>
        <w:t>Mortgage reducing policy.</w:t>
      </w:r>
    </w:p>
    <w:p w14:paraId="09FF9508">
      <w:pPr>
        <w:pStyle w:val="8"/>
        <w:numPr>
          <w:numId w:val="0"/>
        </w:numPr>
        <w:spacing w:after="160" w:line="259" w:lineRule="auto"/>
        <w:contextualSpacing/>
        <w:jc w:val="both"/>
        <w:rPr>
          <w:color w:val="000000"/>
        </w:rPr>
      </w:pPr>
    </w:p>
    <w:p w14:paraId="3CC0CF08">
      <w:pPr>
        <w:pStyle w:val="8"/>
        <w:numPr>
          <w:numId w:val="0"/>
        </w:numPr>
        <w:spacing w:after="160" w:line="259" w:lineRule="auto"/>
        <w:contextualSpacing/>
        <w:jc w:val="both"/>
        <w:rPr>
          <w:color w:val="000000"/>
        </w:rPr>
      </w:pPr>
    </w:p>
    <w:p w14:paraId="77EAA37F">
      <w:pPr>
        <w:pStyle w:val="8"/>
        <w:numPr>
          <w:numId w:val="0"/>
        </w:numPr>
        <w:spacing w:after="160" w:line="259" w:lineRule="auto"/>
        <w:contextualSpacing/>
        <w:jc w:val="both"/>
        <w:rPr>
          <w:color w:val="000000"/>
        </w:rPr>
      </w:pPr>
    </w:p>
    <w:p w14:paraId="3CE3AF67">
      <w:pPr>
        <w:pStyle w:val="8"/>
        <w:numPr>
          <w:numId w:val="0"/>
        </w:numPr>
        <w:spacing w:after="160" w:line="259" w:lineRule="auto"/>
        <w:contextualSpacing/>
        <w:jc w:val="both"/>
        <w:rPr>
          <w:color w:val="000000"/>
        </w:rPr>
      </w:pPr>
      <w:bookmarkStart w:id="0" w:name="_GoBack"/>
      <w:bookmarkEnd w:id="0"/>
    </w:p>
    <w:p w14:paraId="23822141">
      <w:pPr>
        <w:jc w:val="both"/>
        <w:rPr>
          <w:b/>
          <w:u w:val="single"/>
        </w:rPr>
      </w:pPr>
      <w:r>
        <w:rPr>
          <w:b/>
          <w:u w:val="single"/>
        </w:rPr>
        <w:t>04. Interest Rates &amp; Other Chargers</w:t>
      </w:r>
    </w:p>
    <w:p w14:paraId="60EF191C">
      <w:pPr>
        <w:ind w:left="220" w:leftChars="100"/>
        <w:jc w:val="both"/>
      </w:pPr>
      <w:r>
        <w:rPr>
          <w:b/>
        </w:rPr>
        <w:t>4.1</w:t>
      </w:r>
      <w:r>
        <w:t xml:space="preserve"> Interest rates are based on the decision taken by the ALCO committee depending on the asset quality, customer risk profile and market conditions. Interest rate range between 18.00% to 25.00% p.a.</w:t>
      </w:r>
    </w:p>
    <w:p w14:paraId="02885F56">
      <w:pPr>
        <w:ind w:firstLine="220" w:firstLineChars="100"/>
        <w:jc w:val="both"/>
      </w:pPr>
      <w:r>
        <w:rPr>
          <w:b/>
        </w:rPr>
        <w:t>4.2</w:t>
      </w:r>
      <w:r>
        <w:t xml:space="preserve"> Other chargers</w:t>
      </w:r>
    </w:p>
    <w:p w14:paraId="69A28A1E">
      <w:pPr>
        <w:ind w:left="440" w:leftChars="200"/>
        <w:jc w:val="both"/>
      </w:pPr>
      <w:r>
        <w:rPr>
          <w:b/>
        </w:rPr>
        <w:t>4.2.1</w:t>
      </w:r>
      <w:r>
        <w:t xml:space="preserve">   Penalty Interest on non-payment/ delayed payment of the monthly installments (if any).</w:t>
      </w:r>
    </w:p>
    <w:p w14:paraId="54CFE350">
      <w:pPr>
        <w:ind w:left="440" w:leftChars="200"/>
        <w:jc w:val="both"/>
      </w:pPr>
      <w:r>
        <w:t xml:space="preserve"> An overdue interest at Three percent (3%) per month will be charged on the delayed period in the event of installments are unpaid on the due dates.</w:t>
      </w:r>
    </w:p>
    <w:p w14:paraId="5507A1C1">
      <w:pPr>
        <w:ind w:left="440" w:leftChars="200"/>
        <w:jc w:val="both"/>
      </w:pPr>
      <w:r>
        <w:rPr>
          <w:b/>
        </w:rPr>
        <w:t>4.2.2</w:t>
      </w:r>
      <w:r>
        <w:t xml:space="preserve">   Early Settlement of facility - In the event of early settlement by borrower, granting concession for the future interest of the facility is at the sole discretion of MBSL.</w:t>
      </w:r>
    </w:p>
    <w:p w14:paraId="176D9918">
      <w:pPr>
        <w:ind w:left="440" w:leftChars="200"/>
        <w:jc w:val="both"/>
      </w:pPr>
      <w:r>
        <w:t>4.2.3   Processing fee / Documentation fees</w:t>
      </w:r>
    </w:p>
    <w:tbl>
      <w:tblPr>
        <w:tblStyle w:val="7"/>
        <w:tblW w:w="9365" w:type="dxa"/>
        <w:tblInd w:w="4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59"/>
        <w:gridCol w:w="4906"/>
      </w:tblGrid>
      <w:tr w14:paraId="0BC18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459" w:type="dxa"/>
          </w:tcPr>
          <w:p w14:paraId="7ABAEB75">
            <w:pPr>
              <w:jc w:val="both"/>
              <w:rPr>
                <w:b/>
              </w:rPr>
            </w:pPr>
            <w:r>
              <w:rPr>
                <w:b/>
              </w:rPr>
              <w:t xml:space="preserve">Facility amount-LKR </w:t>
            </w:r>
          </w:p>
        </w:tc>
        <w:tc>
          <w:tcPr>
            <w:tcW w:w="4906" w:type="dxa"/>
          </w:tcPr>
          <w:p w14:paraId="6E7D6678">
            <w:pPr>
              <w:jc w:val="both"/>
              <w:rPr>
                <w:b/>
              </w:rPr>
            </w:pPr>
            <w:r>
              <w:rPr>
                <w:b/>
              </w:rPr>
              <w:t>Fee –LKR</w:t>
            </w:r>
          </w:p>
        </w:tc>
      </w:tr>
      <w:tr w14:paraId="486F8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 w:hRule="atLeast"/>
        </w:trPr>
        <w:tc>
          <w:tcPr>
            <w:tcW w:w="4459" w:type="dxa"/>
          </w:tcPr>
          <w:p w14:paraId="401479B7">
            <w:pPr>
              <w:jc w:val="both"/>
            </w:pPr>
            <w:r>
              <w:t>Up to LKR. 500,000/-</w:t>
            </w:r>
          </w:p>
        </w:tc>
        <w:tc>
          <w:tcPr>
            <w:tcW w:w="4906" w:type="dxa"/>
          </w:tcPr>
          <w:p w14:paraId="402EF692">
            <w:pPr>
              <w:jc w:val="both"/>
            </w:pPr>
            <w:r>
              <w:t>LKR. 7,500/-</w:t>
            </w:r>
          </w:p>
        </w:tc>
      </w:tr>
      <w:tr w14:paraId="6C5CD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4459" w:type="dxa"/>
          </w:tcPr>
          <w:p w14:paraId="100F77CD">
            <w:pPr>
              <w:jc w:val="both"/>
            </w:pPr>
            <w:r>
              <w:t>LKR. 500,000/- upto LKR. 1,000,000/-</w:t>
            </w:r>
          </w:p>
        </w:tc>
        <w:tc>
          <w:tcPr>
            <w:tcW w:w="4906" w:type="dxa"/>
          </w:tcPr>
          <w:p w14:paraId="66AC6E09">
            <w:pPr>
              <w:jc w:val="both"/>
            </w:pPr>
            <w:r>
              <w:t>LKR. 10,000/-</w:t>
            </w:r>
          </w:p>
        </w:tc>
      </w:tr>
      <w:tr w14:paraId="6DB90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4459" w:type="dxa"/>
          </w:tcPr>
          <w:p w14:paraId="366DCEF5">
            <w:pPr>
              <w:pStyle w:val="5"/>
              <w:tabs>
                <w:tab w:val="left" w:pos="360"/>
                <w:tab w:val="center" w:pos="4320"/>
                <w:tab w:val="right" w:pos="8640"/>
                <w:tab w:val="clear" w:pos="4680"/>
                <w:tab w:val="clear" w:pos="9360"/>
              </w:tabs>
              <w:spacing w:line="300" w:lineRule="auto"/>
              <w:jc w:val="both"/>
            </w:pPr>
            <w:r>
              <w:t xml:space="preserve">Above LKR. 1,000,000/-  </w:t>
            </w:r>
          </w:p>
        </w:tc>
        <w:tc>
          <w:tcPr>
            <w:tcW w:w="4906" w:type="dxa"/>
          </w:tcPr>
          <w:p w14:paraId="4920CB90">
            <w:pPr>
              <w:jc w:val="both"/>
            </w:pPr>
            <w:r>
              <w:t>Minimum fess LKR. 15,000/- or 1% of the facility value whichever is higher</w:t>
            </w:r>
          </w:p>
        </w:tc>
      </w:tr>
    </w:tbl>
    <w:p w14:paraId="71608661">
      <w:pPr>
        <w:ind w:left="440" w:leftChars="200"/>
        <w:jc w:val="both"/>
      </w:pPr>
    </w:p>
    <w:p w14:paraId="7C2FF32A">
      <w:pPr>
        <w:ind w:left="440" w:leftChars="200"/>
        <w:jc w:val="both"/>
      </w:pPr>
      <w:r>
        <w:rPr>
          <w:b/>
        </w:rPr>
        <w:t xml:space="preserve">4.2.4  </w:t>
      </w:r>
      <w:r>
        <w:t xml:space="preserve"> Other Charges </w:t>
      </w:r>
    </w:p>
    <w:tbl>
      <w:tblPr>
        <w:tblStyle w:val="7"/>
        <w:tblpPr w:leftFromText="180" w:rightFromText="180" w:vertAnchor="text" w:horzAnchor="page" w:tblpX="1939" w:tblpY="148"/>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8"/>
        <w:gridCol w:w="6971"/>
        <w:gridCol w:w="1726"/>
      </w:tblGrid>
      <w:tr w14:paraId="28F60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120DD2F3">
            <w:pPr>
              <w:spacing w:after="0" w:line="240" w:lineRule="auto"/>
              <w:jc w:val="both"/>
              <w:rPr>
                <w:b/>
                <w:sz w:val="24"/>
              </w:rPr>
            </w:pPr>
            <w:r>
              <w:rPr>
                <w:b/>
                <w:sz w:val="24"/>
              </w:rPr>
              <w:t>No.</w:t>
            </w:r>
          </w:p>
        </w:tc>
        <w:tc>
          <w:tcPr>
            <w:tcW w:w="6971" w:type="dxa"/>
          </w:tcPr>
          <w:p w14:paraId="4D361B01">
            <w:pPr>
              <w:spacing w:after="0" w:line="240" w:lineRule="auto"/>
              <w:jc w:val="both"/>
              <w:rPr>
                <w:b/>
                <w:sz w:val="24"/>
              </w:rPr>
            </w:pPr>
            <w:r>
              <w:rPr>
                <w:b/>
                <w:sz w:val="24"/>
              </w:rPr>
              <w:t>Description of Charge / Fee</w:t>
            </w:r>
          </w:p>
        </w:tc>
        <w:tc>
          <w:tcPr>
            <w:tcW w:w="1726" w:type="dxa"/>
          </w:tcPr>
          <w:p w14:paraId="728A3EDA">
            <w:pPr>
              <w:spacing w:after="0" w:line="240" w:lineRule="auto"/>
              <w:jc w:val="both"/>
              <w:rPr>
                <w:b/>
                <w:sz w:val="24"/>
              </w:rPr>
            </w:pPr>
            <w:r>
              <w:rPr>
                <w:b/>
                <w:sz w:val="24"/>
              </w:rPr>
              <w:t>Charges / Fees (LKR)</w:t>
            </w:r>
          </w:p>
        </w:tc>
      </w:tr>
      <w:tr w14:paraId="2EFC8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1D22E0D6">
            <w:pPr>
              <w:spacing w:after="0" w:line="240" w:lineRule="auto"/>
              <w:jc w:val="both"/>
            </w:pPr>
            <w:r>
              <w:t>1</w:t>
            </w:r>
          </w:p>
        </w:tc>
        <w:tc>
          <w:tcPr>
            <w:tcW w:w="6971" w:type="dxa"/>
          </w:tcPr>
          <w:p w14:paraId="22058C41">
            <w:pPr>
              <w:spacing w:after="0" w:line="240" w:lineRule="auto"/>
              <w:jc w:val="both"/>
            </w:pPr>
            <w:r>
              <w:t>Balance Confirmation</w:t>
            </w:r>
          </w:p>
        </w:tc>
        <w:tc>
          <w:tcPr>
            <w:tcW w:w="1726" w:type="dxa"/>
          </w:tcPr>
          <w:p w14:paraId="40AE295F">
            <w:pPr>
              <w:spacing w:after="0" w:line="240" w:lineRule="auto"/>
              <w:jc w:val="both"/>
            </w:pPr>
            <w:r>
              <w:t>1,000.00</w:t>
            </w:r>
          </w:p>
        </w:tc>
      </w:tr>
      <w:tr w14:paraId="762B9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10691D23">
            <w:pPr>
              <w:spacing w:after="0" w:line="240" w:lineRule="auto"/>
              <w:jc w:val="both"/>
            </w:pPr>
            <w:r>
              <w:t>2</w:t>
            </w:r>
          </w:p>
        </w:tc>
        <w:tc>
          <w:tcPr>
            <w:tcW w:w="6971" w:type="dxa"/>
          </w:tcPr>
          <w:p w14:paraId="0CD48092">
            <w:pPr>
              <w:spacing w:after="0" w:line="240" w:lineRule="auto"/>
              <w:jc w:val="both"/>
            </w:pPr>
            <w:r>
              <w:t>Certify copy of Deed &amp; Plan</w:t>
            </w:r>
          </w:p>
        </w:tc>
        <w:tc>
          <w:tcPr>
            <w:tcW w:w="1726" w:type="dxa"/>
          </w:tcPr>
          <w:p w14:paraId="259FBA21">
            <w:pPr>
              <w:spacing w:after="0" w:line="240" w:lineRule="auto"/>
              <w:jc w:val="both"/>
            </w:pPr>
            <w:r>
              <w:t>750.00</w:t>
            </w:r>
          </w:p>
        </w:tc>
      </w:tr>
      <w:tr w14:paraId="622FA7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356C7C3D">
            <w:pPr>
              <w:spacing w:after="0" w:line="240" w:lineRule="auto"/>
              <w:jc w:val="both"/>
            </w:pPr>
            <w:r>
              <w:t>3</w:t>
            </w:r>
          </w:p>
        </w:tc>
        <w:tc>
          <w:tcPr>
            <w:tcW w:w="6971" w:type="dxa"/>
          </w:tcPr>
          <w:p w14:paraId="0CDD4FDC">
            <w:pPr>
              <w:spacing w:after="0" w:line="240" w:lineRule="auto"/>
              <w:jc w:val="both"/>
            </w:pPr>
            <w:r>
              <w:t>No arrears letters</w:t>
            </w:r>
          </w:p>
        </w:tc>
        <w:tc>
          <w:tcPr>
            <w:tcW w:w="1726" w:type="dxa"/>
          </w:tcPr>
          <w:p w14:paraId="760F1CDD">
            <w:pPr>
              <w:spacing w:after="0" w:line="240" w:lineRule="auto"/>
              <w:jc w:val="both"/>
            </w:pPr>
            <w:r>
              <w:t>250.00</w:t>
            </w:r>
          </w:p>
        </w:tc>
      </w:tr>
      <w:tr w14:paraId="35DFF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777A1867">
            <w:pPr>
              <w:spacing w:after="0" w:line="240" w:lineRule="auto"/>
              <w:jc w:val="both"/>
            </w:pPr>
            <w:r>
              <w:t>4</w:t>
            </w:r>
          </w:p>
        </w:tc>
        <w:tc>
          <w:tcPr>
            <w:tcW w:w="6971" w:type="dxa"/>
          </w:tcPr>
          <w:p w14:paraId="192DFB18">
            <w:pPr>
              <w:spacing w:after="0" w:line="240" w:lineRule="auto"/>
              <w:jc w:val="both"/>
            </w:pPr>
            <w:r>
              <w:t>Customer repayment History</w:t>
            </w:r>
          </w:p>
        </w:tc>
        <w:tc>
          <w:tcPr>
            <w:tcW w:w="1726" w:type="dxa"/>
          </w:tcPr>
          <w:p w14:paraId="281BCAAD">
            <w:pPr>
              <w:spacing w:after="0" w:line="240" w:lineRule="auto"/>
              <w:jc w:val="both"/>
            </w:pPr>
            <w:r>
              <w:t>250.00</w:t>
            </w:r>
          </w:p>
        </w:tc>
      </w:tr>
      <w:tr w14:paraId="0E922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01B77954">
            <w:pPr>
              <w:spacing w:after="0" w:line="240" w:lineRule="auto"/>
              <w:jc w:val="both"/>
            </w:pPr>
            <w:r>
              <w:t>5</w:t>
            </w:r>
          </w:p>
        </w:tc>
        <w:tc>
          <w:tcPr>
            <w:tcW w:w="6971" w:type="dxa"/>
          </w:tcPr>
          <w:p w14:paraId="0858E7EC">
            <w:pPr>
              <w:spacing w:after="0" w:line="240" w:lineRule="auto"/>
              <w:jc w:val="both"/>
            </w:pPr>
            <w:r>
              <w:t>Duplicate Deletion letters - all vehicle categories</w:t>
            </w:r>
          </w:p>
        </w:tc>
        <w:tc>
          <w:tcPr>
            <w:tcW w:w="1726" w:type="dxa"/>
          </w:tcPr>
          <w:p w14:paraId="63D02C85">
            <w:pPr>
              <w:spacing w:after="0" w:line="240" w:lineRule="auto"/>
              <w:jc w:val="both"/>
            </w:pPr>
            <w:r>
              <w:t>2,000.00</w:t>
            </w:r>
          </w:p>
        </w:tc>
      </w:tr>
      <w:tr w14:paraId="218A6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3C7DEC60">
            <w:pPr>
              <w:spacing w:after="0" w:line="240" w:lineRule="auto"/>
              <w:jc w:val="both"/>
            </w:pPr>
            <w:r>
              <w:t>6</w:t>
            </w:r>
          </w:p>
        </w:tc>
        <w:tc>
          <w:tcPr>
            <w:tcW w:w="6971" w:type="dxa"/>
          </w:tcPr>
          <w:p w14:paraId="73849ED7">
            <w:pPr>
              <w:spacing w:after="0" w:line="240" w:lineRule="auto"/>
              <w:jc w:val="both"/>
            </w:pPr>
            <w:r>
              <w:t>No objection letters</w:t>
            </w:r>
          </w:p>
        </w:tc>
        <w:tc>
          <w:tcPr>
            <w:tcW w:w="1726" w:type="dxa"/>
          </w:tcPr>
          <w:p w14:paraId="0EEAD080">
            <w:pPr>
              <w:spacing w:after="0" w:line="240" w:lineRule="auto"/>
              <w:jc w:val="both"/>
            </w:pPr>
            <w:r>
              <w:t>1,000.00</w:t>
            </w:r>
          </w:p>
        </w:tc>
      </w:tr>
      <w:tr w14:paraId="288CF7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6F941844">
            <w:pPr>
              <w:spacing w:after="0" w:line="240" w:lineRule="auto"/>
              <w:jc w:val="both"/>
            </w:pPr>
            <w:r>
              <w:t>7</w:t>
            </w:r>
          </w:p>
        </w:tc>
        <w:tc>
          <w:tcPr>
            <w:tcW w:w="6971" w:type="dxa"/>
          </w:tcPr>
          <w:p w14:paraId="006654A3">
            <w:pPr>
              <w:spacing w:after="0" w:line="240" w:lineRule="auto"/>
              <w:jc w:val="both"/>
            </w:pPr>
            <w:r>
              <w:t>Settlement letters</w:t>
            </w:r>
          </w:p>
        </w:tc>
        <w:tc>
          <w:tcPr>
            <w:tcW w:w="1726" w:type="dxa"/>
          </w:tcPr>
          <w:p w14:paraId="4FB31CAB">
            <w:pPr>
              <w:spacing w:after="0" w:line="240" w:lineRule="auto"/>
              <w:jc w:val="both"/>
            </w:pPr>
            <w:r>
              <w:t>750.00</w:t>
            </w:r>
          </w:p>
        </w:tc>
      </w:tr>
      <w:tr w14:paraId="422F1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4C3B93C9">
            <w:pPr>
              <w:spacing w:after="0" w:line="240" w:lineRule="auto"/>
              <w:jc w:val="both"/>
            </w:pPr>
            <w:r>
              <w:t>8</w:t>
            </w:r>
          </w:p>
        </w:tc>
        <w:tc>
          <w:tcPr>
            <w:tcW w:w="6971" w:type="dxa"/>
          </w:tcPr>
          <w:p w14:paraId="025A35C0">
            <w:pPr>
              <w:spacing w:after="0" w:line="240" w:lineRule="auto"/>
              <w:jc w:val="both"/>
            </w:pPr>
            <w:r>
              <w:t>Invoice to lenders / Buyers</w:t>
            </w:r>
          </w:p>
        </w:tc>
        <w:tc>
          <w:tcPr>
            <w:tcW w:w="1726" w:type="dxa"/>
          </w:tcPr>
          <w:p w14:paraId="6C4EA162">
            <w:pPr>
              <w:spacing w:after="0" w:line="240" w:lineRule="auto"/>
              <w:jc w:val="both"/>
            </w:pPr>
            <w:r>
              <w:t>1,500.00</w:t>
            </w:r>
          </w:p>
        </w:tc>
      </w:tr>
      <w:tr w14:paraId="67227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48D3AE7A">
            <w:pPr>
              <w:spacing w:after="0" w:line="240" w:lineRule="auto"/>
              <w:jc w:val="both"/>
            </w:pPr>
            <w:r>
              <w:t>9</w:t>
            </w:r>
          </w:p>
        </w:tc>
        <w:tc>
          <w:tcPr>
            <w:tcW w:w="6971" w:type="dxa"/>
          </w:tcPr>
          <w:p w14:paraId="48B5B6FE">
            <w:pPr>
              <w:spacing w:after="0" w:line="240" w:lineRule="auto"/>
              <w:jc w:val="both"/>
            </w:pPr>
            <w:r>
              <w:t>Cheque Return Charges</w:t>
            </w:r>
          </w:p>
        </w:tc>
        <w:tc>
          <w:tcPr>
            <w:tcW w:w="1726" w:type="dxa"/>
          </w:tcPr>
          <w:p w14:paraId="1CBE1538">
            <w:pPr>
              <w:spacing w:after="0" w:line="240" w:lineRule="auto"/>
              <w:jc w:val="both"/>
            </w:pPr>
            <w:r>
              <w:t>2,500.00</w:t>
            </w:r>
          </w:p>
        </w:tc>
      </w:tr>
      <w:tr w14:paraId="380C5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02DF75A2">
            <w:pPr>
              <w:spacing w:after="0" w:line="240" w:lineRule="auto"/>
              <w:jc w:val="both"/>
            </w:pPr>
            <w:r>
              <w:t>10</w:t>
            </w:r>
          </w:p>
        </w:tc>
        <w:tc>
          <w:tcPr>
            <w:tcW w:w="6971" w:type="dxa"/>
          </w:tcPr>
          <w:p w14:paraId="44041F13">
            <w:pPr>
              <w:spacing w:after="0" w:line="240" w:lineRule="auto"/>
              <w:jc w:val="both"/>
            </w:pPr>
            <w:r>
              <w:t>Cheque Returns - Payments stop by the drawer</w:t>
            </w:r>
          </w:p>
        </w:tc>
        <w:tc>
          <w:tcPr>
            <w:tcW w:w="1726" w:type="dxa"/>
          </w:tcPr>
          <w:p w14:paraId="7AF7DCFD">
            <w:pPr>
              <w:spacing w:after="0" w:line="240" w:lineRule="auto"/>
              <w:jc w:val="both"/>
            </w:pPr>
            <w:r>
              <w:t>5,000.00</w:t>
            </w:r>
          </w:p>
        </w:tc>
      </w:tr>
      <w:tr w14:paraId="776E3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8" w:type="dxa"/>
          </w:tcPr>
          <w:p w14:paraId="71D237C7">
            <w:pPr>
              <w:spacing w:after="0" w:line="240" w:lineRule="auto"/>
              <w:jc w:val="both"/>
            </w:pPr>
            <w:r>
              <w:t>11</w:t>
            </w:r>
          </w:p>
        </w:tc>
        <w:tc>
          <w:tcPr>
            <w:tcW w:w="6971" w:type="dxa"/>
          </w:tcPr>
          <w:p w14:paraId="67994CFA">
            <w:pPr>
              <w:spacing w:after="0" w:line="240" w:lineRule="auto"/>
              <w:jc w:val="both"/>
            </w:pPr>
            <w:r>
              <w:t>Legal fees for preparation and execution of Deed of release (misplaced)</w:t>
            </w:r>
          </w:p>
        </w:tc>
        <w:tc>
          <w:tcPr>
            <w:tcW w:w="1726" w:type="dxa"/>
          </w:tcPr>
          <w:p w14:paraId="526CBBC4">
            <w:pPr>
              <w:spacing w:after="0" w:line="240" w:lineRule="auto"/>
              <w:jc w:val="both"/>
            </w:pPr>
            <w:r>
              <w:t>7,500.00</w:t>
            </w:r>
          </w:p>
        </w:tc>
      </w:tr>
    </w:tbl>
    <w:p w14:paraId="2562408C">
      <w:pPr>
        <w:jc w:val="both"/>
        <w:rPr>
          <w:b/>
          <w:u w:val="single"/>
        </w:rPr>
      </w:pPr>
    </w:p>
    <w:p w14:paraId="1449DCCB">
      <w:pPr>
        <w:jc w:val="both"/>
        <w:rPr>
          <w:b/>
          <w:u w:val="single"/>
        </w:rPr>
      </w:pPr>
      <w:r>
        <w:rPr>
          <w:b/>
          <w:u w:val="single"/>
        </w:rPr>
        <w:t>05. General Requirements Accommodated</w:t>
      </w:r>
    </w:p>
    <w:p w14:paraId="62E855A4">
      <w:pPr>
        <w:jc w:val="both"/>
      </w:pPr>
      <w:r>
        <w:t>Intended purpose of deploying the loan funds should be clearly stated in the loan application which should be within one or many of the following purposes.</w:t>
      </w:r>
    </w:p>
    <w:p w14:paraId="64C7F6DD">
      <w:pPr>
        <w:pStyle w:val="8"/>
        <w:numPr>
          <w:ilvl w:val="0"/>
          <w:numId w:val="4"/>
        </w:numPr>
        <w:jc w:val="both"/>
      </w:pPr>
      <w:r>
        <w:t>House repairs, renovations and adding an extension</w:t>
      </w:r>
    </w:p>
    <w:p w14:paraId="60E2DCA2">
      <w:pPr>
        <w:pStyle w:val="8"/>
        <w:numPr>
          <w:ilvl w:val="0"/>
          <w:numId w:val="4"/>
        </w:numPr>
        <w:jc w:val="both"/>
      </w:pPr>
      <w:r>
        <w:t>Purchase of household furniture, equipment etc.,</w:t>
      </w:r>
    </w:p>
    <w:p w14:paraId="0E0DBA5A">
      <w:pPr>
        <w:pStyle w:val="8"/>
        <w:numPr>
          <w:ilvl w:val="0"/>
          <w:numId w:val="4"/>
        </w:numPr>
        <w:jc w:val="both"/>
      </w:pPr>
      <w:r>
        <w:t>Vehicle purchase and repairs</w:t>
      </w:r>
    </w:p>
    <w:p w14:paraId="05900FB2">
      <w:pPr>
        <w:pStyle w:val="8"/>
        <w:numPr>
          <w:ilvl w:val="0"/>
          <w:numId w:val="4"/>
        </w:numPr>
        <w:jc w:val="both"/>
      </w:pPr>
      <w:r>
        <w:t>Educational expenses</w:t>
      </w:r>
    </w:p>
    <w:p w14:paraId="7ED4E17A">
      <w:pPr>
        <w:pStyle w:val="8"/>
        <w:numPr>
          <w:ilvl w:val="0"/>
          <w:numId w:val="4"/>
        </w:numPr>
        <w:jc w:val="both"/>
      </w:pPr>
      <w:r>
        <w:t>Purchase of professional tools and equipment</w:t>
      </w:r>
    </w:p>
    <w:p w14:paraId="5C40AE4A">
      <w:pPr>
        <w:pStyle w:val="8"/>
        <w:numPr>
          <w:ilvl w:val="0"/>
          <w:numId w:val="4"/>
        </w:numPr>
        <w:jc w:val="both"/>
      </w:pPr>
      <w:r>
        <w:t>Overseas travel and leisure expenses</w:t>
      </w:r>
    </w:p>
    <w:p w14:paraId="7E8546CE">
      <w:pPr>
        <w:pStyle w:val="8"/>
        <w:numPr>
          <w:ilvl w:val="0"/>
          <w:numId w:val="4"/>
        </w:numPr>
        <w:jc w:val="both"/>
      </w:pPr>
      <w:r>
        <w:t>Wedding expenses</w:t>
      </w:r>
    </w:p>
    <w:p w14:paraId="08F3A510">
      <w:pPr>
        <w:pStyle w:val="8"/>
        <w:numPr>
          <w:ilvl w:val="0"/>
          <w:numId w:val="4"/>
        </w:numPr>
        <w:jc w:val="both"/>
      </w:pPr>
      <w:r>
        <w:t>Redeem Debts</w:t>
      </w:r>
    </w:p>
    <w:p w14:paraId="5840CF3C">
      <w:pPr>
        <w:pStyle w:val="8"/>
        <w:numPr>
          <w:ilvl w:val="0"/>
          <w:numId w:val="4"/>
        </w:numPr>
        <w:jc w:val="both"/>
      </w:pPr>
      <w:r>
        <w:t>Other Personal requirements</w:t>
      </w:r>
    </w:p>
    <w:p w14:paraId="49F37460">
      <w:pPr>
        <w:jc w:val="both"/>
        <w:rPr>
          <w:b/>
          <w:u w:val="single"/>
        </w:rPr>
      </w:pPr>
      <w:r>
        <w:rPr>
          <w:b/>
          <w:u w:val="single"/>
        </w:rPr>
        <w:t>06. Documentation</w:t>
      </w:r>
    </w:p>
    <w:p w14:paraId="45135DE7">
      <w:pPr>
        <w:pStyle w:val="8"/>
        <w:numPr>
          <w:ilvl w:val="0"/>
          <w:numId w:val="5"/>
        </w:numPr>
        <w:jc w:val="both"/>
      </w:pPr>
      <w:r>
        <w:t>Dully filled personal loan application</w:t>
      </w:r>
    </w:p>
    <w:p w14:paraId="6CE4E985">
      <w:pPr>
        <w:pStyle w:val="8"/>
        <w:numPr>
          <w:ilvl w:val="0"/>
          <w:numId w:val="5"/>
        </w:numPr>
        <w:jc w:val="both"/>
      </w:pPr>
      <w:r>
        <w:t>Salary slips within the last three (03) months.</w:t>
      </w:r>
    </w:p>
    <w:p w14:paraId="396BFF9D">
      <w:pPr>
        <w:pStyle w:val="8"/>
        <w:numPr>
          <w:ilvl w:val="0"/>
          <w:numId w:val="5"/>
        </w:numPr>
        <w:jc w:val="both"/>
      </w:pPr>
      <w:r>
        <w:t>Salary confirmation letter from the employer.</w:t>
      </w:r>
    </w:p>
    <w:p w14:paraId="68D0B4F9">
      <w:pPr>
        <w:pStyle w:val="8"/>
        <w:numPr>
          <w:ilvl w:val="0"/>
          <w:numId w:val="5"/>
        </w:numPr>
        <w:jc w:val="both"/>
      </w:pPr>
      <w:r>
        <w:t>Certified NIC copy</w:t>
      </w:r>
    </w:p>
    <w:p w14:paraId="453A4752">
      <w:pPr>
        <w:pStyle w:val="8"/>
        <w:numPr>
          <w:ilvl w:val="0"/>
          <w:numId w:val="5"/>
        </w:numPr>
        <w:jc w:val="both"/>
      </w:pPr>
      <w:r>
        <w:t>Valid billing proof (within last 06 months)</w:t>
      </w:r>
    </w:p>
    <w:p w14:paraId="585DF929">
      <w:pPr>
        <w:pStyle w:val="8"/>
        <w:numPr>
          <w:ilvl w:val="0"/>
          <w:numId w:val="5"/>
        </w:numPr>
        <w:jc w:val="both"/>
      </w:pPr>
      <w:r>
        <w:t>Bank statements for the last three (03) months.</w:t>
      </w:r>
    </w:p>
    <w:p w14:paraId="1E927AEF">
      <w:pPr>
        <w:pStyle w:val="8"/>
        <w:numPr>
          <w:ilvl w:val="0"/>
          <w:numId w:val="5"/>
        </w:numPr>
        <w:jc w:val="both"/>
      </w:pPr>
      <w:r>
        <w:t>Proof of the relevant professional bodies</w:t>
      </w:r>
    </w:p>
    <w:p w14:paraId="2D8DD346">
      <w:pPr>
        <w:pStyle w:val="8"/>
        <w:numPr>
          <w:ilvl w:val="0"/>
          <w:numId w:val="5"/>
        </w:numPr>
        <w:jc w:val="both"/>
      </w:pPr>
      <w:r>
        <w:t>Salary remittance undertaking letter from employer.</w:t>
      </w:r>
    </w:p>
    <w:p w14:paraId="16FFDD4E">
      <w:pPr>
        <w:pStyle w:val="8"/>
        <w:numPr>
          <w:ilvl w:val="0"/>
          <w:numId w:val="5"/>
        </w:numPr>
        <w:jc w:val="both"/>
      </w:pPr>
      <w:r>
        <w:t>CRIB report (Personal &amp; business if any)</w:t>
      </w:r>
    </w:p>
    <w:p w14:paraId="2A366CCB">
      <w:pPr>
        <w:pStyle w:val="8"/>
        <w:jc w:val="both"/>
      </w:pPr>
    </w:p>
    <w:p w14:paraId="3BC7EA05">
      <w:pPr>
        <w:jc w:val="both"/>
        <w:rPr>
          <w:b/>
          <w:u w:val="single"/>
        </w:rPr>
      </w:pPr>
      <w:r>
        <w:rPr>
          <w:b/>
          <w:u w:val="single"/>
        </w:rPr>
        <w:t>07. Resident Status</w:t>
      </w:r>
    </w:p>
    <w:p w14:paraId="146521CF">
      <w:pPr>
        <w:jc w:val="both"/>
      </w:pPr>
      <w:r>
        <w:t>The personal loan customer must be a resident of Sri Lanka. No exceptions to be accommodated.</w:t>
      </w:r>
    </w:p>
    <w:p w14:paraId="6E9C1ADF">
      <w:pPr>
        <w:jc w:val="both"/>
        <w:rPr>
          <w:b/>
          <w:u w:val="single"/>
        </w:rPr>
      </w:pPr>
      <w:r>
        <w:rPr>
          <w:b/>
          <w:u w:val="single"/>
        </w:rPr>
        <w:t>08. Calculation of Income</w:t>
      </w:r>
    </w:p>
    <w:p w14:paraId="711D95FF">
      <w:pPr>
        <w:jc w:val="both"/>
      </w:pPr>
      <w:r>
        <w:t>Fixed Income</w:t>
      </w:r>
    </w:p>
    <w:p w14:paraId="55229DA2">
      <w:pPr>
        <w:jc w:val="both"/>
      </w:pPr>
      <w:r>
        <w:t xml:space="preserve">     Monthly basic salary, cost of living allowances and Fixed allowances.</w:t>
      </w:r>
    </w:p>
    <w:p w14:paraId="56D35E5D">
      <w:pPr>
        <w:jc w:val="both"/>
        <w:rPr>
          <w:b/>
          <w:u w:val="single"/>
        </w:rPr>
      </w:pPr>
      <w:r>
        <w:rPr>
          <w:b/>
          <w:u w:val="single"/>
        </w:rPr>
        <w:t>09. Collateral</w:t>
      </w:r>
    </w:p>
    <w:p w14:paraId="32312270">
      <w:pPr>
        <w:ind w:firstLine="360"/>
        <w:jc w:val="both"/>
      </w:pPr>
      <w:r>
        <w:t>1. A letter of undertaking from the employer to remit the installment or salary directly to MBSL.</w:t>
      </w:r>
    </w:p>
    <w:p w14:paraId="2FD618CD">
      <w:pPr>
        <w:ind w:firstLine="360"/>
        <w:jc w:val="both"/>
      </w:pPr>
      <w:r>
        <w:t>2. Two (02) personal guarantors</w:t>
      </w:r>
    </w:p>
    <w:p w14:paraId="260B5C38">
      <w:pPr>
        <w:ind w:firstLine="360"/>
        <w:jc w:val="both"/>
      </w:pPr>
      <w:r>
        <w:t>3. Offer Letter</w:t>
      </w:r>
    </w:p>
    <w:p w14:paraId="5ED348A7">
      <w:pPr>
        <w:ind w:firstLine="360"/>
        <w:jc w:val="both"/>
      </w:pPr>
      <w:r>
        <w:t>4. Personal loan agreement</w:t>
      </w:r>
    </w:p>
    <w:p w14:paraId="202C5A01">
      <w:pPr>
        <w:jc w:val="both"/>
        <w:rPr>
          <w:b/>
          <w:u w:val="single"/>
        </w:rPr>
      </w:pPr>
      <w:r>
        <w:rPr>
          <w:b/>
          <w:u w:val="single"/>
        </w:rPr>
        <w:t>10. The Repayment</w:t>
      </w:r>
    </w:p>
    <w:p w14:paraId="0A996D13">
      <w:pPr>
        <w:ind w:firstLine="360"/>
        <w:jc w:val="both"/>
      </w:pPr>
      <w:r>
        <w:t>a) Fixed monthly installment</w:t>
      </w:r>
    </w:p>
    <w:p w14:paraId="687CF225">
      <w:pPr>
        <w:ind w:firstLine="360"/>
        <w:jc w:val="both"/>
      </w:pPr>
      <w:r>
        <w:t>b) Maximum term</w:t>
      </w:r>
    </w:p>
    <w:p w14:paraId="4D790636">
      <w:pPr>
        <w:ind w:firstLine="360"/>
        <w:jc w:val="both"/>
      </w:pPr>
      <w:r>
        <w:t xml:space="preserve">         for Government employees - 84 months </w:t>
      </w:r>
    </w:p>
    <w:p w14:paraId="5CD7D463">
      <w:pPr>
        <w:ind w:firstLine="360"/>
        <w:jc w:val="both"/>
      </w:pPr>
      <w:r>
        <w:t xml:space="preserve">         for Private company -  60 months</w:t>
      </w:r>
    </w:p>
    <w:p w14:paraId="0307E569">
      <w:pPr>
        <w:jc w:val="both"/>
        <w:rPr>
          <w:b/>
          <w:u w:val="single"/>
        </w:rPr>
      </w:pPr>
      <w:r>
        <w:rPr>
          <w:b/>
          <w:u w:val="single"/>
        </w:rPr>
        <w:t>11. Security Documentation</w:t>
      </w:r>
    </w:p>
    <w:p w14:paraId="2125FB1E">
      <w:pPr>
        <w:jc w:val="both"/>
      </w:pPr>
      <w:r>
        <w:t>The primary document obtained would be</w:t>
      </w:r>
    </w:p>
    <w:p w14:paraId="700C8C07">
      <w:pPr>
        <w:ind w:firstLine="360"/>
        <w:jc w:val="both"/>
      </w:pPr>
      <w:r>
        <w:t xml:space="preserve">a) The Offer Letter </w:t>
      </w:r>
    </w:p>
    <w:p w14:paraId="35560419">
      <w:pPr>
        <w:ind w:firstLine="360"/>
        <w:jc w:val="both"/>
      </w:pPr>
      <w:r>
        <w:t>b) Personal Loan Agreement</w:t>
      </w:r>
    </w:p>
    <w:p w14:paraId="5282F2E1">
      <w:pPr>
        <w:ind w:firstLine="360"/>
        <w:jc w:val="both"/>
      </w:pPr>
      <w:r>
        <w:t>c) Personal Guarantee Bond</w:t>
      </w:r>
    </w:p>
    <w:p w14:paraId="254AC436">
      <w:pPr>
        <w:jc w:val="both"/>
        <w:rPr>
          <w:b/>
          <w:u w:val="single"/>
        </w:rPr>
      </w:pPr>
      <w:r>
        <w:rPr>
          <w:b/>
          <w:u w:val="single"/>
        </w:rPr>
        <w:t>12. Personal Loan Top-Ups</w:t>
      </w:r>
    </w:p>
    <w:p w14:paraId="27F7E6BB">
      <w:pPr>
        <w:jc w:val="both"/>
      </w:pPr>
      <w:r>
        <w:t>A personal loan may be topped-up at the request of the customer subject to following guidelines on the existing relationship.</w:t>
      </w:r>
    </w:p>
    <w:p w14:paraId="36680362">
      <w:pPr>
        <w:ind w:firstLine="360"/>
        <w:jc w:val="both"/>
      </w:pPr>
      <w:r>
        <w:t>1. Minimum 06 month of disbursement of the existing facility.</w:t>
      </w:r>
    </w:p>
    <w:p w14:paraId="634C940B">
      <w:pPr>
        <w:ind w:firstLine="360"/>
        <w:jc w:val="both"/>
      </w:pPr>
      <w:r>
        <w:t>2. Never 60 DPD in the last 12 months.</w:t>
      </w:r>
    </w:p>
    <w:p w14:paraId="1B41994A">
      <w:pPr>
        <w:ind w:firstLine="360"/>
        <w:jc w:val="both"/>
      </w:pPr>
      <w:r>
        <w:t xml:space="preserve">3. Debt Service Cover – 2.0 timers or more </w:t>
      </w:r>
    </w:p>
    <w:p w14:paraId="4EF2923D">
      <w:pPr>
        <w:jc w:val="both"/>
        <w:rPr>
          <w:b/>
          <w:u w:val="single"/>
        </w:rPr>
      </w:pPr>
      <w:r>
        <w:rPr>
          <w:b/>
          <w:u w:val="single"/>
        </w:rPr>
        <w:t>13. Legal provision applicable</w:t>
      </w:r>
    </w:p>
    <w:p w14:paraId="5CE316BA">
      <w:pPr>
        <w:ind w:firstLine="360"/>
        <w:jc w:val="both"/>
      </w:pPr>
      <w:r>
        <w:t>a) Consumer Credit Act No. 29 of 1982</w:t>
      </w:r>
    </w:p>
    <w:p w14:paraId="74DA9559">
      <w:pPr>
        <w:ind w:firstLine="360"/>
        <w:jc w:val="both"/>
      </w:pPr>
      <w:r>
        <w:t>b) Contract Law</w:t>
      </w:r>
    </w:p>
    <w:p w14:paraId="3873B0E3">
      <w:pPr>
        <w:ind w:firstLine="360"/>
        <w:jc w:val="both"/>
      </w:pPr>
      <w:r>
        <w:t>c) Civil &amp; Criminal Law of Sri Lanka</w:t>
      </w:r>
    </w:p>
    <w:p w14:paraId="7F130D81">
      <w:pPr>
        <w:jc w:val="both"/>
        <w:rPr>
          <w:b/>
          <w:u w:val="single"/>
        </w:rPr>
      </w:pPr>
      <w:r>
        <w:rPr>
          <w:b/>
          <w:u w:val="single"/>
        </w:rPr>
        <w:t>14. Main terms and conditions</w:t>
      </w:r>
    </w:p>
    <w:p w14:paraId="2691573B">
      <w:pPr>
        <w:ind w:left="440" w:leftChars="200"/>
        <w:jc w:val="both"/>
      </w:pPr>
      <w:r>
        <w:t>a) Loan is repayable on demand without previous notice to the applicant or at any time as required by the Bank.</w:t>
      </w:r>
    </w:p>
    <w:p w14:paraId="5950473C">
      <w:pPr>
        <w:ind w:left="440" w:leftChars="200"/>
        <w:jc w:val="both"/>
      </w:pPr>
      <w:r>
        <w:t>b) The applicant undertakes to keep the MBSL informed of any change/status in his/her current employment.</w:t>
      </w:r>
    </w:p>
    <w:p w14:paraId="1A3859AB">
      <w:pPr>
        <w:ind w:left="440" w:leftChars="200"/>
        <w:jc w:val="both"/>
      </w:pPr>
      <w:r>
        <w:t>c) The officers of MBSL are authorized to visit the applicant's place of employment or residence for the purpose of recover of dues such visiting charges should be borne by the applicant.</w:t>
      </w:r>
    </w:p>
    <w:p w14:paraId="228360A6">
      <w:pPr>
        <w:jc w:val="both"/>
        <w:rPr>
          <w:b/>
          <w:u w:val="single"/>
        </w:rPr>
      </w:pPr>
      <w:r>
        <w:rPr>
          <w:b/>
          <w:u w:val="single"/>
        </w:rPr>
        <w:t>15. Complaint Handling Procedure</w:t>
      </w:r>
    </w:p>
    <w:p w14:paraId="2D6177B2">
      <w:pPr>
        <w:jc w:val="both"/>
      </w:pPr>
      <w:r>
        <w:t>Customers can lodge complaints with regard to our products or services by or;</w:t>
      </w:r>
    </w:p>
    <w:p w14:paraId="0111CA5F">
      <w:pPr>
        <w:ind w:firstLine="360"/>
        <w:jc w:val="both"/>
      </w:pPr>
      <w:r>
        <w:t>a) Visit to the nearest branch and make the complaint to the Branch Manager.</w:t>
      </w:r>
    </w:p>
    <w:p w14:paraId="255F4C31">
      <w:pPr>
        <w:ind w:firstLine="360"/>
        <w:jc w:val="both"/>
      </w:pPr>
      <w:r>
        <w:t xml:space="preserve">b) Call &amp; lodge a complaint through our customer care </w:t>
      </w:r>
    </w:p>
    <w:p w14:paraId="798BA2D0">
      <w:pPr>
        <w:ind w:firstLine="660"/>
        <w:jc w:val="both"/>
        <w:rPr>
          <w:b/>
        </w:rPr>
      </w:pPr>
      <w:r>
        <w:rPr>
          <w:b/>
          <w:bCs/>
          <w:color w:val="FF0000"/>
        </w:rPr>
        <w:t xml:space="preserve">Hotline </w:t>
      </w:r>
      <w:r>
        <w:rPr>
          <w:color w:val="FF0000"/>
        </w:rPr>
        <w:t>: 011 - 4 711 711</w:t>
      </w:r>
      <w:r>
        <w:t xml:space="preserve"> OR via</w:t>
      </w:r>
      <w:r>
        <w:rPr>
          <w:b/>
          <w:bCs/>
        </w:rPr>
        <w:t xml:space="preserve"> </w:t>
      </w:r>
      <w:r>
        <w:rPr>
          <w:b/>
          <w:bCs/>
          <w:color w:val="FF0000"/>
        </w:rPr>
        <w:t xml:space="preserve">E- mail </w:t>
      </w:r>
      <w:r>
        <w:rPr>
          <w:color w:val="FF0000"/>
        </w:rPr>
        <w:t>: info@mbslbank.com / customercare@mbslbank.com</w:t>
      </w:r>
    </w:p>
    <w:p w14:paraId="02E0E2A0">
      <w:pPr>
        <w:ind w:firstLine="360"/>
        <w:jc w:val="both"/>
      </w:pPr>
      <w:r>
        <w:t>c) By post - make a complaint in writing to the;</w:t>
      </w:r>
    </w:p>
    <w:p w14:paraId="7143A562">
      <w:pPr>
        <w:ind w:firstLine="660"/>
        <w:jc w:val="both"/>
        <w:rPr>
          <w:bCs/>
          <w:color w:val="FF0000"/>
        </w:rPr>
      </w:pPr>
      <w:r>
        <w:rPr>
          <w:bCs/>
          <w:color w:val="FF0000"/>
        </w:rPr>
        <w:t>Complaint Handling Officer (Acting),</w:t>
      </w:r>
    </w:p>
    <w:p w14:paraId="7D208A14">
      <w:pPr>
        <w:ind w:firstLine="660"/>
        <w:jc w:val="both"/>
        <w:rPr>
          <w:bCs/>
          <w:color w:val="FF0000"/>
        </w:rPr>
      </w:pPr>
      <w:r>
        <w:rPr>
          <w:bCs/>
          <w:color w:val="FF0000"/>
        </w:rPr>
        <w:t xml:space="preserve">Merchant Bank of Sri Lanka &amp; Finance PLC </w:t>
      </w:r>
    </w:p>
    <w:p w14:paraId="1373D84D">
      <w:pPr>
        <w:ind w:firstLine="660"/>
        <w:jc w:val="both"/>
        <w:rPr>
          <w:bCs/>
          <w:color w:val="FF0000"/>
        </w:rPr>
      </w:pPr>
      <w:r>
        <w:rPr>
          <w:bCs/>
          <w:color w:val="FF0000"/>
        </w:rPr>
        <w:t>No.28, BOC Merchant Tower</w:t>
      </w:r>
    </w:p>
    <w:p w14:paraId="584E7D6D">
      <w:pPr>
        <w:ind w:firstLine="660"/>
        <w:jc w:val="both"/>
        <w:rPr>
          <w:bCs/>
          <w:color w:val="FF0000"/>
        </w:rPr>
      </w:pPr>
      <w:r>
        <w:rPr>
          <w:bCs/>
          <w:color w:val="FF0000"/>
        </w:rPr>
        <w:t>St. Michael’s Road, Colombo 03.</w:t>
      </w:r>
    </w:p>
    <w:sectPr>
      <w:headerReference r:id="rId7" w:type="first"/>
      <w:footerReference r:id="rId10" w:type="first"/>
      <w:headerReference r:id="rId5" w:type="default"/>
      <w:footerReference r:id="rId8" w:type="default"/>
      <w:headerReference r:id="rId6" w:type="even"/>
      <w:footerReference r:id="rId9" w:type="even"/>
      <w:pgSz w:w="12240" w:h="15840"/>
      <w:pgMar w:top="81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tag w:val="GTBClassification"/>
      <w:id w:val="-1076350033"/>
      <w:lock w:val="sdtContentLocked"/>
      <w:placeholder>
        <w:docPart w:val="DefaultPlaceholder_1081868574"/>
      </w:placeholder>
    </w:sdtPr>
    <w:sdtContent>
      <w:p w14:paraId="72EBF281">
        <w:pPr>
          <w:pStyle w:val="4"/>
        </w:pPr>
        <w:r>
          <w:rPr>
            <w:rFonts w:ascii="Arial" w:hAnsi="Arial" w:cs="Arial"/>
            <w:b/>
            <w:color w:val="000000"/>
            <w:sz w:val="28"/>
          </w:rPr>
          <w:t>Classification:</w:t>
        </w:r>
        <w:r>
          <w:rPr>
            <w:rFonts w:ascii="Arial" w:hAnsi="Arial" w:cs="Arial"/>
            <w:color w:val="000000"/>
            <w:sz w:val="28"/>
          </w:rPr>
          <w:t xml:space="preserve"> </w:t>
        </w:r>
        <w:r>
          <w:rPr>
            <w:rFonts w:ascii="Arial" w:hAnsi="Arial" w:cs="Arial"/>
            <w:b/>
            <w:color w:val="1A237E"/>
            <w:sz w:val="28"/>
          </w:rPr>
          <w:t>MBSL Use Only</w: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tag w:val="GTBClassification"/>
      <w:id w:val="-381940013"/>
      <w:lock w:val="sdtContentLocked"/>
      <w:placeholder>
        <w:docPart w:val="DefaultPlaceholder_1081868574"/>
      </w:placeholder>
    </w:sdtPr>
    <w:sdtContent>
      <w:p w14:paraId="61390C00">
        <w:pPr>
          <w:pStyle w:val="4"/>
        </w:pPr>
        <w:r>
          <w:rPr>
            <w:rFonts w:ascii="Arial" w:hAnsi="Arial" w:cs="Arial"/>
            <w:b/>
            <w:color w:val="000000"/>
            <w:sz w:val="28"/>
          </w:rPr>
          <w:t>Classification:</w:t>
        </w:r>
        <w:r>
          <w:rPr>
            <w:rFonts w:ascii="Arial" w:hAnsi="Arial" w:cs="Arial"/>
            <w:color w:val="000000"/>
            <w:sz w:val="28"/>
          </w:rPr>
          <w:t xml:space="preserve"> </w:t>
        </w:r>
        <w:r>
          <w:rPr>
            <w:rFonts w:ascii="Arial" w:hAnsi="Arial" w:cs="Arial"/>
            <w:b/>
            <w:color w:val="1A237E"/>
            <w:sz w:val="28"/>
          </w:rPr>
          <w:t>MBSL Use Only</w:t>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tag w:val="GTBClassification"/>
      <w:id w:val="236446561"/>
      <w:lock w:val="sdtContentLocked"/>
      <w:placeholder>
        <w:docPart w:val="DefaultPlaceholder_1081868574"/>
      </w:placeholder>
    </w:sdtPr>
    <w:sdtContent>
      <w:p w14:paraId="29DC2184">
        <w:pPr>
          <w:pStyle w:val="4"/>
        </w:pPr>
        <w:r>
          <w:rPr>
            <w:rFonts w:ascii="Arial" w:hAnsi="Arial" w:cs="Arial"/>
            <w:b/>
            <w:color w:val="000000"/>
            <w:sz w:val="28"/>
          </w:rPr>
          <w:t>Classification:</w:t>
        </w:r>
        <w:r>
          <w:rPr>
            <w:rFonts w:ascii="Arial" w:hAnsi="Arial" w:cs="Arial"/>
            <w:color w:val="000000"/>
            <w:sz w:val="28"/>
          </w:rPr>
          <w:t xml:space="preserve"> </w:t>
        </w:r>
        <w:r>
          <w:rPr>
            <w:rFonts w:ascii="Arial" w:hAnsi="Arial" w:cs="Arial"/>
            <w:b/>
            <w:color w:val="1A237E"/>
            <w:sz w:val="28"/>
          </w:rPr>
          <w:t>MBSL Use Only</w: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6405B">
    <w:pPr>
      <w:pStyle w:val="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EC608">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FCA76D">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7C143E"/>
    <w:multiLevelType w:val="multilevel"/>
    <w:tmpl w:val="177C143E"/>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1CCC63EE"/>
    <w:multiLevelType w:val="multilevel"/>
    <w:tmpl w:val="1CCC63EE"/>
    <w:lvl w:ilvl="0" w:tentative="0">
      <w:start w:val="3"/>
      <w:numFmt w:val="lowerLetter"/>
      <w:lvlText w:val="%1)"/>
      <w:lvlJc w:val="left"/>
      <w:pPr>
        <w:ind w:left="360" w:hanging="360"/>
      </w:pPr>
      <w:rPr>
        <w:rFonts w:hint="default"/>
      </w:rPr>
    </w:lvl>
    <w:lvl w:ilvl="1" w:tentative="0">
      <w:start w:val="1"/>
      <w:numFmt w:val="lowerLetter"/>
      <w:lvlText w:val="%2)"/>
      <w:lvlJc w:val="left"/>
      <w:pPr>
        <w:ind w:left="720" w:hanging="360"/>
      </w:pPr>
      <w:rPr>
        <w:rFonts w:hint="default"/>
      </w:rPr>
    </w:lvl>
    <w:lvl w:ilvl="2" w:tentative="0">
      <w:start w:val="1"/>
      <w:numFmt w:val="lowerRoman"/>
      <w:lvlText w:val="%3)"/>
      <w:lvlJc w:val="left"/>
      <w:pPr>
        <w:ind w:left="1080" w:hanging="360"/>
      </w:pPr>
      <w:rPr>
        <w:rFonts w:hint="default"/>
      </w:rPr>
    </w:lvl>
    <w:lvl w:ilvl="3" w:tentative="0">
      <w:start w:val="1"/>
      <w:numFmt w:val="decimal"/>
      <w:lvlText w:val="(%4)"/>
      <w:lvlJc w:val="left"/>
      <w:pPr>
        <w:ind w:left="1440" w:hanging="360"/>
      </w:pPr>
      <w:rPr>
        <w:rFonts w:hint="default"/>
      </w:rPr>
    </w:lvl>
    <w:lvl w:ilvl="4" w:tentative="0">
      <w:start w:val="1"/>
      <w:numFmt w:val="lowerLetter"/>
      <w:lvlText w:val="(%5)"/>
      <w:lvlJc w:val="left"/>
      <w:pPr>
        <w:ind w:left="1800" w:hanging="360"/>
      </w:pPr>
      <w:rPr>
        <w:rFonts w:hint="default"/>
      </w:rPr>
    </w:lvl>
    <w:lvl w:ilvl="5" w:tentative="0">
      <w:start w:val="1"/>
      <w:numFmt w:val="lowerRoman"/>
      <w:lvlText w:val="(%6)"/>
      <w:lvlJc w:val="left"/>
      <w:pPr>
        <w:ind w:left="2160" w:hanging="360"/>
      </w:pPr>
      <w:rPr>
        <w:rFonts w:hint="default"/>
      </w:rPr>
    </w:lvl>
    <w:lvl w:ilvl="6" w:tentative="0">
      <w:start w:val="1"/>
      <w:numFmt w:val="decimal"/>
      <w:lvlText w:val="%7."/>
      <w:lvlJc w:val="left"/>
      <w:pPr>
        <w:ind w:left="2520" w:hanging="360"/>
      </w:pPr>
      <w:rPr>
        <w:rFonts w:hint="default"/>
      </w:rPr>
    </w:lvl>
    <w:lvl w:ilvl="7" w:tentative="0">
      <w:start w:val="1"/>
      <w:numFmt w:val="lowerLetter"/>
      <w:lvlText w:val="%8."/>
      <w:lvlJc w:val="left"/>
      <w:pPr>
        <w:ind w:left="2880" w:hanging="360"/>
      </w:pPr>
      <w:rPr>
        <w:rFonts w:hint="default"/>
      </w:rPr>
    </w:lvl>
    <w:lvl w:ilvl="8" w:tentative="0">
      <w:start w:val="1"/>
      <w:numFmt w:val="lowerRoman"/>
      <w:lvlText w:val="%9."/>
      <w:lvlJc w:val="left"/>
      <w:pPr>
        <w:ind w:left="3240" w:hanging="360"/>
      </w:pPr>
      <w:rPr>
        <w:rFonts w:hint="default"/>
      </w:rPr>
    </w:lvl>
  </w:abstractNum>
  <w:abstractNum w:abstractNumId="2">
    <w:nsid w:val="2D346CA7"/>
    <w:multiLevelType w:val="multilevel"/>
    <w:tmpl w:val="2D346CA7"/>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5217273"/>
    <w:multiLevelType w:val="multilevel"/>
    <w:tmpl w:val="3521727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630B6B3F"/>
    <w:multiLevelType w:val="multilevel"/>
    <w:tmpl w:val="630B6B3F"/>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2"/>
  </w:num>
  <w:num w:numId="2">
    <w:abstractNumId w:val="3"/>
  </w:num>
  <w:num w:numId="3">
    <w:abstractNumId w:val="1"/>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7"/>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1E4C"/>
    <w:rsid w:val="000039C0"/>
    <w:rsid w:val="00052002"/>
    <w:rsid w:val="000600FE"/>
    <w:rsid w:val="00065A9F"/>
    <w:rsid w:val="001357FB"/>
    <w:rsid w:val="001B36FB"/>
    <w:rsid w:val="001C6F70"/>
    <w:rsid w:val="001D1E4C"/>
    <w:rsid w:val="00384C12"/>
    <w:rsid w:val="0053046C"/>
    <w:rsid w:val="00594EF7"/>
    <w:rsid w:val="005E40B2"/>
    <w:rsid w:val="0073601F"/>
    <w:rsid w:val="008F414D"/>
    <w:rsid w:val="00922682"/>
    <w:rsid w:val="00925E5A"/>
    <w:rsid w:val="00B6141E"/>
    <w:rsid w:val="00BE0712"/>
    <w:rsid w:val="00C840A5"/>
    <w:rsid w:val="00D37729"/>
    <w:rsid w:val="00DE37D2"/>
    <w:rsid w:val="00E627DF"/>
    <w:rsid w:val="00F1529A"/>
    <w:rsid w:val="00F33EF5"/>
    <w:rsid w:val="064676EF"/>
    <w:rsid w:val="768935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10"/>
    <w:unhideWhenUsed/>
    <w:qFormat/>
    <w:uiPriority w:val="99"/>
    <w:pPr>
      <w:tabs>
        <w:tab w:val="center" w:pos="4680"/>
        <w:tab w:val="right" w:pos="9360"/>
      </w:tabs>
      <w:spacing w:after="0" w:line="240" w:lineRule="auto"/>
    </w:pPr>
  </w:style>
  <w:style w:type="paragraph" w:styleId="5">
    <w:name w:val="header"/>
    <w:basedOn w:val="1"/>
    <w:link w:val="9"/>
    <w:unhideWhenUsed/>
    <w:qFormat/>
    <w:uiPriority w:val="0"/>
    <w:pPr>
      <w:tabs>
        <w:tab w:val="center" w:pos="4680"/>
        <w:tab w:val="right" w:pos="9360"/>
      </w:tabs>
      <w:spacing w:after="0" w:line="240" w:lineRule="auto"/>
    </w:pPr>
  </w:style>
  <w:style w:type="paragraph" w:styleId="6">
    <w:name w:val="Normal (Web)"/>
    <w:basedOn w:val="1"/>
    <w:unhideWhenUsed/>
    <w:qFormat/>
    <w:uiPriority w:val="99"/>
    <w:pPr>
      <w:spacing w:before="100" w:beforeAutospacing="1" w:after="100" w:afterAutospacing="1" w:line="240" w:lineRule="auto"/>
    </w:pPr>
    <w:rPr>
      <w:rFonts w:ascii="Times New Roman" w:hAnsi="Times New Roman" w:eastAsia="Times New Roman" w:cs="Times New Roman"/>
      <w:sz w:val="24"/>
      <w:szCs w:val="24"/>
    </w:rPr>
  </w:style>
  <w:style w:type="table" w:styleId="7">
    <w:name w:val="Table Grid"/>
    <w:basedOn w:val="3"/>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8">
    <w:name w:val="List Paragraph"/>
    <w:basedOn w:val="1"/>
    <w:qFormat/>
    <w:uiPriority w:val="34"/>
    <w:pPr>
      <w:ind w:left="720"/>
      <w:contextualSpacing/>
    </w:pPr>
  </w:style>
  <w:style w:type="character" w:customStyle="1" w:styleId="9">
    <w:name w:val="Header Char"/>
    <w:basedOn w:val="2"/>
    <w:link w:val="5"/>
    <w:qFormat/>
    <w:uiPriority w:val="0"/>
  </w:style>
  <w:style w:type="character" w:customStyle="1" w:styleId="10">
    <w:name w:val="Footer Char"/>
    <w:basedOn w:val="2"/>
    <w:link w:val="4"/>
    <w:qFormat/>
    <w:uiPriority w:val="99"/>
  </w:style>
  <w:style w:type="character" w:styleId="11">
    <w:name w:val="Placeholder Text"/>
    <w:basedOn w:val="2"/>
    <w:semiHidden/>
    <w:qFormat/>
    <w:uiPriority w:val="99"/>
    <w:rPr>
      <w:color w:val="80808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DefaultPlaceholder_1081868574"/>
        <w:style w:val=""/>
        <w:category>
          <w:name w:val="General"/>
          <w:gallery w:val="placeholder"/>
        </w:category>
        <w:types>
          <w:type w:val="bbPlcHdr"/>
        </w:types>
        <w:behaviors>
          <w:behavior w:val="content"/>
        </w:behaviors>
        <w:description w:val=""/>
        <w:guid w:val="{78573E4D-5D58-4CF6-ABDE-CC52547D7E19}"/>
      </w:docPartPr>
      <w:docPartBody>
        <w:p w14:paraId="653C07F0">
          <w:r>
            <w:rPr>
              <w:rStyle w:val="4"/>
            </w:rPr>
            <w:t>Click here to enter text.</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3520"/>
    <w:rsid w:val="001720A1"/>
    <w:rsid w:val="002050D2"/>
    <w:rsid w:val="0031176A"/>
    <w:rsid w:val="004C124F"/>
    <w:rsid w:val="00D035F7"/>
    <w:rsid w:val="00F935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TBClassification>
  <attrValue xml:space="preserve">MBSL Use Only</attrValue>
  <customPropName>MBSL Classification</customPropName>
  <timestamp>1/23/2026 5:52:33 PM</timestamp>
  <userName>MBSLBANK\MBSL2596</userName>
  <computerName>MBSL005822.MBSLBANK.COM</computerName>
  <guid>{8f3a9da4-1fc5-4535-8752-eb4882bed307}</guid>
  <ftr>
    <r>
      <fontName>arial</fontName>
      <fontColor>000000</fontColor>
      <fontSize>14</fontSize>
      <b/>
      <text xml:space="preserve">Classification:</text>
    </r>
    <r>
      <fontName>arial</fontName>
      <fontColor>000000</fontColor>
      <fontSize>14</fontSize>
      <text xml:space="preserve"> </text>
    </r>
    <r>
      <fontName>arial</fontName>
      <fontColor>1A237E</fontColor>
      <fontSize>14</fontSize>
      <b/>
      <text xml:space="preserve">MBSL Use Only</text>
    </r>
  </ftr>
</GTBClassification>
</file>

<file path=customXml/itemProps1.xml><?xml version="1.0" encoding="utf-8"?>
<ds:datastoreItem xmlns:ds="http://schemas.openxmlformats.org/officeDocument/2006/customXml" ds:itemID="{AE335A20-9661-44BF-BDB1-9A1959B9F9EE}">
  <ds:schemaRefs/>
</ds:datastoreItem>
</file>

<file path=docProps/app.xml><?xml version="1.0" encoding="utf-8"?>
<Properties xmlns="http://schemas.openxmlformats.org/officeDocument/2006/extended-properties" xmlns:vt="http://schemas.openxmlformats.org/officeDocument/2006/docPropsVTypes">
  <Template>Normal</Template>
  <Pages>4</Pages>
  <Words>1043</Words>
  <Characters>5494</Characters>
  <Lines>46</Lines>
  <Paragraphs>13</Paragraphs>
  <TotalTime>24</TotalTime>
  <ScaleCrop>false</ScaleCrop>
  <LinksUpToDate>false</LinksUpToDate>
  <CharactersWithSpaces>6452</CharactersWithSpaces>
  <Application>WPS Office_12.1.0.25242_F1E327BC-269C-435d-A152-05C5408002CA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2026-02-18T04:06:00Z</dcterms:created>
  <dc:creator>Kasun Malinda</dc:creator>
  <cp:keywords>ClassificationData:&lt;MBSL Classification:MBSL Use Only&gt;</cp:keywords>
  <cp:lastModifiedBy>Kasun Malinda</cp:lastModifiedBy>
  <dcterms:modified xsi:type="dcterms:W3CDTF">2026-03-09T07:46:45Z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BSL Classification">
    <vt:lpwstr>MBSL Use Only</vt:lpwstr>
  </property>
  <property fmtid="{D5CDD505-2E9C-101B-9397-08002B2CF9AE}" pid="3" name="ClassifiedBy">
    <vt:lpwstr>MBSLBANK\MBSL2596</vt:lpwstr>
  </property>
  <property fmtid="{D5CDD505-2E9C-101B-9397-08002B2CF9AE}" pid="4" name="ClassificationHost">
    <vt:lpwstr>MBSL005822.MBSLBANK.COM</vt:lpwstr>
  </property>
  <property fmtid="{D5CDD505-2E9C-101B-9397-08002B2CF9AE}" pid="5" name="ClassificationDate">
    <vt:lpwstr>1/23/2026 5:52:33 PM</vt:lpwstr>
  </property>
  <property fmtid="{D5CDD505-2E9C-101B-9397-08002B2CF9AE}" pid="6" name="ClassificationGUID">
    <vt:lpwstr>{8f3a9da4-1fc5-4535-8752-eb4882bed307}</vt:lpwstr>
  </property>
  <property fmtid="{D5CDD505-2E9C-101B-9397-08002B2CF9AE}" pid="7" name="KSOProductBuildVer">
    <vt:lpwstr>1033-12.1.0.25242</vt:lpwstr>
  </property>
  <property fmtid="{D5CDD505-2E9C-101B-9397-08002B2CF9AE}" pid="8" name="ICV">
    <vt:lpwstr>E89B409299FD4AA89B6620B6C8CED464_12</vt:lpwstr>
  </property>
  <property fmtid="{D5CDD505-2E9C-101B-9397-08002B2CF9AE}" pid="9" name="KSOTemplateDocerSaveRecord">
    <vt:lpwstr>eyJoZGlkIjoiODBhOTE0MDRiYTg1YzkyYWJlMjI1MWY3MzJmZDQyYWQiLCJ1c2VySWQiOiI1MjQwNTA0MzI3NzcyIn0=</vt:lpwstr>
  </property>
</Properties>
</file>